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D823E9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786399">
        <w:rPr>
          <w:noProof w:val="0"/>
          <w:sz w:val="24"/>
          <w:szCs w:val="24"/>
        </w:rPr>
        <w:t xml:space="preserve">NR </w:t>
      </w:r>
      <w:r w:rsidR="00786399">
        <w:rPr>
          <w:noProof w:val="0"/>
          <w:sz w:val="24"/>
          <w:szCs w:val="24"/>
        </w:rPr>
        <w:t xml:space="preserve">Adhoc </w:t>
      </w:r>
      <w:r w:rsidR="002E1A5A">
        <w:rPr>
          <w:noProof w:val="0"/>
          <w:sz w:val="24"/>
          <w:szCs w:val="24"/>
        </w:rPr>
        <w:t>1801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A47582" w:rsidRPr="00A47582">
        <w:rPr>
          <w:bCs/>
          <w:noProof w:val="0"/>
          <w:sz w:val="24"/>
          <w:szCs w:val="24"/>
        </w:rPr>
        <w:t>1800416</w:t>
      </w:r>
    </w:p>
    <w:p w14:paraId="231362B2" w14:textId="3725CDC8" w:rsidR="00CD4C7B" w:rsidRPr="00B266B0" w:rsidRDefault="0078639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12F1A">
        <w:rPr>
          <w:rFonts w:eastAsia="SimSun"/>
          <w:noProof w:val="0"/>
          <w:sz w:val="24"/>
          <w:szCs w:val="24"/>
          <w:lang w:eastAsia="zh-CN"/>
        </w:rPr>
        <w:t>J</w:t>
      </w:r>
      <w:r>
        <w:rPr>
          <w:rFonts w:eastAsia="SimSun"/>
          <w:noProof w:val="0"/>
          <w:sz w:val="24"/>
          <w:szCs w:val="24"/>
          <w:lang w:eastAsia="zh-CN"/>
        </w:rPr>
        <w:t>anuary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DB3CA9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F2B3E">
        <w:rPr>
          <w:rFonts w:cs="Arial"/>
          <w:b/>
          <w:bCs/>
          <w:sz w:val="24"/>
          <w:lang w:eastAsia="ja-JP"/>
        </w:rPr>
        <w:t>11.1</w:t>
      </w:r>
    </w:p>
    <w:p w14:paraId="6A1BC0C1" w14:textId="4B2EA55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86399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CEA07D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F32B0">
        <w:rPr>
          <w:rFonts w:ascii="Arial" w:hAnsi="Arial" w:cs="Arial"/>
          <w:b/>
          <w:bCs/>
          <w:sz w:val="24"/>
        </w:rPr>
        <w:t xml:space="preserve">IAB </w:t>
      </w:r>
      <w:r w:rsidR="00FB2636">
        <w:rPr>
          <w:rFonts w:ascii="Arial" w:hAnsi="Arial" w:cs="Arial"/>
          <w:b/>
          <w:bCs/>
          <w:sz w:val="24"/>
        </w:rPr>
        <w:t>Evaluation Methodology</w:t>
      </w:r>
    </w:p>
    <w:p w14:paraId="3AC3A0B1" w14:textId="7315C06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F2B3E">
        <w:rPr>
          <w:rFonts w:ascii="Arial" w:hAnsi="Arial" w:cs="Arial"/>
          <w:b/>
          <w:bCs/>
          <w:sz w:val="24"/>
        </w:rPr>
        <w:t>FS</w:t>
      </w:r>
      <w:r w:rsidR="00FB2636" w:rsidRPr="00FB2636">
        <w:rPr>
          <w:rFonts w:ascii="Arial" w:hAnsi="Arial" w:cs="Arial"/>
          <w:b/>
          <w:bCs/>
          <w:sz w:val="24"/>
        </w:rPr>
        <w:t>_NR</w:t>
      </w:r>
      <w:r w:rsidR="00CF2B3E">
        <w:rPr>
          <w:rFonts w:ascii="Arial" w:hAnsi="Arial" w:cs="Arial"/>
          <w:b/>
          <w:bCs/>
          <w:sz w:val="24"/>
        </w:rPr>
        <w:t>_</w:t>
      </w:r>
      <w:r w:rsidR="00FB2636" w:rsidRPr="00FB2636">
        <w:rPr>
          <w:rFonts w:ascii="Arial" w:hAnsi="Arial" w:cs="Arial"/>
          <w:b/>
          <w:bCs/>
          <w:sz w:val="24"/>
        </w:rPr>
        <w:t>IAB - Release 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9F77294" w:rsidR="00CD4C7B" w:rsidRDefault="00FB2636" w:rsidP="00B7681B">
      <w:pPr>
        <w:jc w:val="both"/>
      </w:pPr>
      <w:r w:rsidRPr="00FB2636">
        <w:t>The study of Integrated Access and Backhaul (IAB) is essential component of NR deployments providing a mechanism to achieve coverage reliability targets in the absence of available fiber.</w:t>
      </w:r>
      <w:r>
        <w:t xml:space="preserve">   Contribution </w:t>
      </w:r>
      <w:r>
        <w:fldChar w:fldCharType="begin"/>
      </w:r>
      <w:r>
        <w:instrText xml:space="preserve"> REF _Ref503291207 \r \h </w:instrText>
      </w:r>
      <w:r w:rsidR="00B7681B">
        <w:instrText xml:space="preserve"> \* MERGEFORMAT </w:instrText>
      </w:r>
      <w:r>
        <w:fldChar w:fldCharType="separate"/>
      </w:r>
      <w:r w:rsidR="00906904">
        <w:t>[1]</w:t>
      </w:r>
      <w:r>
        <w:fldChar w:fldCharType="end"/>
      </w:r>
      <w:r>
        <w:t xml:space="preserve"> identifie</w:t>
      </w:r>
      <w:r w:rsidR="00EE49D0">
        <w:t>s</w:t>
      </w:r>
      <w:r>
        <w:t xml:space="preserve"> 5 canonical use cases of IAB nodes:</w:t>
      </w:r>
      <w:r w:rsidRPr="00FB2636">
        <w:t xml:space="preserve"> Sparse Fiber Mitigation (SFM), I</w:t>
      </w:r>
      <w:r>
        <w:t xml:space="preserve">solated Gap Remediation (IGR), </w:t>
      </w:r>
      <w:r w:rsidRPr="00FB2636">
        <w:t>Capacity Enhancements (CE), Coverage Bri</w:t>
      </w:r>
      <w:r w:rsidR="0072143C">
        <w:t xml:space="preserve">dging (CB) and Group </w:t>
      </w:r>
      <w:r w:rsidR="0072143C">
        <w:t>Mobility (</w:t>
      </w:r>
      <w:r w:rsidRPr="00FB2636">
        <w:t>GM)</w:t>
      </w:r>
      <w:r>
        <w:t>.</w:t>
      </w:r>
    </w:p>
    <w:p w14:paraId="5216009E" w14:textId="1BC962E2" w:rsidR="00FB2636" w:rsidRPr="005C202D" w:rsidRDefault="00FB2636" w:rsidP="00B7681B">
      <w:pPr>
        <w:jc w:val="both"/>
        <w:rPr>
          <w:lang w:val="en-GB"/>
        </w:rPr>
      </w:pPr>
      <w:r>
        <w:t>This contribution proposes an evaluation methodology be adopted for IAB study item based</w:t>
      </w:r>
      <w:r w:rsidR="0065406F">
        <w:t xml:space="preserve"> on</w:t>
      </w:r>
      <w:r>
        <w:t xml:space="preserve"> the NR technical report </w:t>
      </w:r>
      <w:r>
        <w:fldChar w:fldCharType="begin"/>
      </w:r>
      <w:r>
        <w:instrText xml:space="preserve"> REF _Ref503291473 \r \h </w:instrText>
      </w:r>
      <w:r w:rsidR="00B7681B">
        <w:instrText xml:space="preserve"> \* MERGEFORMAT </w:instrText>
      </w:r>
      <w:r>
        <w:fldChar w:fldCharType="separate"/>
      </w:r>
      <w:r w:rsidR="00906904">
        <w:t>[3]</w:t>
      </w:r>
      <w:r>
        <w:fldChar w:fldCharType="end"/>
      </w:r>
      <w:r w:rsidR="004D145A">
        <w:t xml:space="preserve"> and associated channel models </w:t>
      </w:r>
      <w:r w:rsidR="004D145A">
        <w:fldChar w:fldCharType="begin"/>
      </w:r>
      <w:r w:rsidR="004D145A">
        <w:instrText xml:space="preserve"> REF _Ref503292059 \r \h </w:instrText>
      </w:r>
      <w:r w:rsidR="00B7681B">
        <w:instrText xml:space="preserve"> \* MERGEFORMAT </w:instrText>
      </w:r>
      <w:r w:rsidR="004D145A">
        <w:fldChar w:fldCharType="separate"/>
      </w:r>
      <w:r w:rsidR="00906904">
        <w:t>[4]</w:t>
      </w:r>
      <w:r w:rsidR="004D145A">
        <w:fldChar w:fldCharType="end"/>
      </w:r>
      <w:r w:rsidR="004D145A">
        <w:t xml:space="preserve">.  </w:t>
      </w:r>
      <w:r w:rsidR="00B40CA4">
        <w:t>One deficiency in the existing models</w:t>
      </w:r>
      <w:r w:rsidR="00D251BB">
        <w:t>, with respect to IAB study, is that the current Line of Sight (LoS) probab</w:t>
      </w:r>
      <w:r w:rsidR="00CF2B3E">
        <w:t>i</w:t>
      </w:r>
      <w:r w:rsidR="00D251BB">
        <w:t>l</w:t>
      </w:r>
      <w:r w:rsidR="00CF2B3E">
        <w:t>it</w:t>
      </w:r>
      <w:r w:rsidR="00D251BB">
        <w:t>y between IAB nodes is pessimistic.  Th</w:t>
      </w:r>
      <w:r w:rsidR="0065406F">
        <w:t>is aspect of the</w:t>
      </w:r>
      <w:r w:rsidR="00D251BB">
        <w:t xml:space="preserve"> LoS probability will</w:t>
      </w:r>
      <w:r w:rsidR="00B40CA4">
        <w:t xml:space="preserve"> </w:t>
      </w:r>
      <w:r w:rsidR="00CF2B3E">
        <w:t xml:space="preserve">be </w:t>
      </w:r>
      <w:r w:rsidR="00B40CA4">
        <w:t>discussed</w:t>
      </w:r>
      <w:r w:rsidR="00AD0A03">
        <w:t xml:space="preserve"> and</w:t>
      </w:r>
      <w:r w:rsidR="00D251BB">
        <w:t xml:space="preserve"> a simple workaround </w:t>
      </w:r>
      <w:r w:rsidR="00CF2B3E">
        <w:t xml:space="preserve">is </w:t>
      </w:r>
      <w:r w:rsidR="00B40CA4">
        <w:t xml:space="preserve">proposed. </w:t>
      </w:r>
      <w:r>
        <w:t>The</w:t>
      </w:r>
      <w:r w:rsidR="0065406F">
        <w:t xml:space="preserve"> proposed</w:t>
      </w:r>
      <w:r>
        <w:t xml:space="preserve"> methodology allows one to study the </w:t>
      </w:r>
      <w:r w:rsidR="0072143C">
        <w:t xml:space="preserve">system </w:t>
      </w:r>
      <w:r>
        <w:t>performance</w:t>
      </w:r>
      <w:r w:rsidR="00EE49D0">
        <w:t>,</w:t>
      </w:r>
      <w:r>
        <w:t xml:space="preserve"> with and without</w:t>
      </w:r>
      <w:r w:rsidR="0072143C">
        <w:t xml:space="preserve"> IAB nodes</w:t>
      </w:r>
      <w:r w:rsidR="00EE49D0">
        <w:t>,</w:t>
      </w:r>
      <w:r w:rsidR="0072143C">
        <w:t xml:space="preserve"> based </w:t>
      </w:r>
      <w:r w:rsidR="00EE49D0">
        <w:t xml:space="preserve">on </w:t>
      </w:r>
      <w:r w:rsidR="0072143C">
        <w:t>optical fiber availability.  Key Pe</w:t>
      </w:r>
      <w:r w:rsidR="004D145A">
        <w:t>r</w:t>
      </w:r>
      <w:r w:rsidR="0072143C">
        <w:t>formance Indications (KPI) such as mean UE throughput, Cell Edge UE throughput, and latency should be measured to assess the utility of the IAB concept.</w:t>
      </w:r>
    </w:p>
    <w:p w14:paraId="127ACA6D" w14:textId="3E3AF223" w:rsidR="00CD4C7B" w:rsidRPr="005C202D" w:rsidRDefault="00CD4C7B" w:rsidP="00CD4C7B">
      <w:pPr>
        <w:pStyle w:val="Heading1"/>
      </w:pPr>
      <w:r w:rsidRPr="005C202D">
        <w:t>2</w:t>
      </w:r>
      <w:r w:rsidRPr="005C202D">
        <w:tab/>
      </w:r>
      <w:r w:rsidR="00B40CA4" w:rsidRPr="00A27C31">
        <w:rPr>
          <w:lang w:val="en-US"/>
        </w:rPr>
        <w:t xml:space="preserve">IAB </w:t>
      </w:r>
      <w:r w:rsidR="00A27C31" w:rsidRPr="00A27C31">
        <w:rPr>
          <w:lang w:val="en-US"/>
        </w:rPr>
        <w:t>LoS Probability</w:t>
      </w:r>
    </w:p>
    <w:p w14:paraId="3884F67D" w14:textId="48936985" w:rsidR="00CD4C7B" w:rsidRDefault="00A27C31" w:rsidP="00B7681B">
      <w:pPr>
        <w:jc w:val="both"/>
      </w:pPr>
      <w:r w:rsidRPr="00A27C31">
        <w:t xml:space="preserve">IAB nodes will be employed to improve coverage reliability in the </w:t>
      </w:r>
      <w:r w:rsidR="00AD0A03" w:rsidRPr="00A27C31">
        <w:t>absence</w:t>
      </w:r>
      <w:r w:rsidRPr="00A27C31">
        <w:t xml:space="preserve"> of available fiber.  As such, the placement of IAB should result in</w:t>
      </w:r>
      <w:r w:rsidR="0065406F">
        <w:t xml:space="preserve"> a</w:t>
      </w:r>
      <w:r w:rsidRPr="00A27C31">
        <w:t xml:space="preserve"> higher probably of Line of Sight </w:t>
      </w:r>
      <w:r w:rsidR="00EE49D0">
        <w:t xml:space="preserve">(LoS) </w:t>
      </w:r>
      <w:r w:rsidRPr="00A27C31">
        <w:t>between the donor f</w:t>
      </w:r>
      <w:r w:rsidR="00AD0A03">
        <w:t xml:space="preserve">iber-connected </w:t>
      </w:r>
      <w:r w:rsidR="004E4D33">
        <w:t xml:space="preserve">node </w:t>
      </w:r>
      <w:r w:rsidR="00AD0A03">
        <w:t>and the IAB node</w:t>
      </w:r>
      <w:r w:rsidR="0065406F">
        <w:t>s</w:t>
      </w:r>
      <w:r w:rsidR="00AD0A03">
        <w:t>.   IAB node placement coul</w:t>
      </w:r>
      <w:r w:rsidR="00005D1B">
        <w:t xml:space="preserve">d be envisioned as down streets in dense urban environments, on light poles in suburban </w:t>
      </w:r>
      <w:r w:rsidR="00EE49D0">
        <w:t>environments</w:t>
      </w:r>
      <w:r w:rsidR="00005D1B">
        <w:t xml:space="preserve"> or at macro heights in urban environments.</w:t>
      </w:r>
    </w:p>
    <w:p w14:paraId="157295B2" w14:textId="6E8609E7" w:rsidR="00005D1B" w:rsidRDefault="00005D1B" w:rsidP="00B7681B">
      <w:pPr>
        <w:jc w:val="both"/>
      </w:pPr>
      <w:r>
        <w:t xml:space="preserve">Table A.2.1-1 of </w:t>
      </w:r>
      <w:r>
        <w:fldChar w:fldCharType="begin"/>
      </w:r>
      <w:r>
        <w:instrText xml:space="preserve"> REF _Ref503291473 \r \h </w:instrText>
      </w:r>
      <w:r w:rsidR="00B7681B">
        <w:instrText xml:space="preserve"> \* MERGEFORMAT </w:instrText>
      </w:r>
      <w:r>
        <w:fldChar w:fldCharType="separate"/>
      </w:r>
      <w:r w:rsidR="00906904">
        <w:t>[3]</w:t>
      </w:r>
      <w:r>
        <w:fldChar w:fldCharType="end"/>
      </w:r>
      <w:r>
        <w:t xml:space="preserve"> defines system level evaluation assumptions for indoor hotspot, dense urban, rural and urban macro environments.   Of these, the urban and dense urban environment </w:t>
      </w:r>
      <w:r w:rsidR="00D251BB">
        <w:t xml:space="preserve">are recommended for the </w:t>
      </w:r>
      <w:r>
        <w:t xml:space="preserve">study of IAB. </w:t>
      </w:r>
    </w:p>
    <w:p w14:paraId="0103FB88" w14:textId="498B230B" w:rsidR="00F1560D" w:rsidRDefault="00363552" w:rsidP="00B7681B">
      <w:pPr>
        <w:jc w:val="both"/>
      </w:pPr>
      <w:r w:rsidRPr="00363552">
        <w:t>Table A.2.1-</w:t>
      </w:r>
      <w:r>
        <w:t>11</w:t>
      </w:r>
      <w:r w:rsidRPr="00363552">
        <w:t xml:space="preserve"> of </w:t>
      </w:r>
      <w:r w:rsidR="00906904">
        <w:fldChar w:fldCharType="begin"/>
      </w:r>
      <w:r w:rsidR="00906904">
        <w:instrText xml:space="preserve"> REF _Ref503291473 \r \h </w:instrText>
      </w:r>
      <w:r w:rsidR="00906904">
        <w:fldChar w:fldCharType="separate"/>
      </w:r>
      <w:r w:rsidR="00906904">
        <w:t>[3]</w:t>
      </w:r>
      <w:r w:rsidR="00906904">
        <w:fldChar w:fldCharType="end"/>
      </w:r>
      <w:r w:rsidR="00906904">
        <w:t xml:space="preserve"> </w:t>
      </w:r>
      <w:r w:rsidRPr="00363552">
        <w:t xml:space="preserve">defines </w:t>
      </w:r>
      <w:r>
        <w:t xml:space="preserve">evaluation parameters specific to flexible duplex.  As flexible duplex must address </w:t>
      </w:r>
      <w:r w:rsidR="0065406F">
        <w:t>macro/micro</w:t>
      </w:r>
      <w:r>
        <w:t xml:space="preserve"> to UE interference on the uplink, macro-to</w:t>
      </w:r>
      <w:r>
        <w:t xml:space="preserve">-macro, macro-to-micro and micro-to-micro </w:t>
      </w:r>
      <w:r w:rsidR="0065406F">
        <w:t xml:space="preserve">link </w:t>
      </w:r>
      <w:r>
        <w:t>parameters are defined for both fast-fading and large-scale channel aspects.  The fast-fading ASA</w:t>
      </w:r>
      <w:r w:rsidR="003371E7">
        <w:t xml:space="preserve"> (rms azimuth spread of arrival angles)</w:t>
      </w:r>
      <w:r>
        <w:t xml:space="preserve"> and </w:t>
      </w:r>
      <w:r w:rsidR="002A0A18">
        <w:t>ZSA (rms zenith spread of arrival angles)</w:t>
      </w:r>
      <w:r>
        <w:t xml:space="preserve"> statistics are updated to be same as ASD</w:t>
      </w:r>
      <w:r w:rsidR="003371E7">
        <w:t xml:space="preserve"> (rms azimuth spread of departure angles)</w:t>
      </w:r>
      <w:r>
        <w:t xml:space="preserve"> and </w:t>
      </w:r>
      <w:r w:rsidR="002A0A18">
        <w:t xml:space="preserve">ZSD </w:t>
      </w:r>
      <w:r w:rsidR="003371E7">
        <w:t xml:space="preserve">(rms zenith spread of </w:t>
      </w:r>
      <w:r w:rsidR="002A0A18">
        <w:t>departure</w:t>
      </w:r>
      <w:r w:rsidR="003371E7">
        <w:t xml:space="preserve"> angles) </w:t>
      </w:r>
      <w:r>
        <w:t xml:space="preserve">reusing the channel statistics but wisely insuring the scattering environment is identical for both </w:t>
      </w:r>
      <w:r w:rsidR="0065406F">
        <w:t xml:space="preserve">transmitter and receiver macros </w:t>
      </w:r>
      <w:r w:rsidR="0065406F">
        <w:t>or micros</w:t>
      </w:r>
      <w:r>
        <w:t xml:space="preserve">.  Similarly, the </w:t>
      </w:r>
      <w:r w:rsidR="00EE49D0">
        <w:t>large-scale</w:t>
      </w:r>
      <w:r>
        <w:t xml:space="preserve"> parameters have been modified to reflect the heights of the macros and micros, thereby adjusting the LoS probably.</w:t>
      </w:r>
    </w:p>
    <w:p w14:paraId="43C42D00" w14:textId="502A7C45" w:rsidR="00363552" w:rsidRDefault="00363552" w:rsidP="00B7681B">
      <w:pPr>
        <w:jc w:val="both"/>
      </w:pPr>
      <w:r>
        <w:t xml:space="preserve">One issue </w:t>
      </w:r>
      <w:r w:rsidR="00EE49D0">
        <w:t>arises</w:t>
      </w:r>
      <w:r w:rsidR="005A1F7D">
        <w:t xml:space="preserve"> with respect to the LoS probability specifically for</w:t>
      </w:r>
      <w:r w:rsidR="00B7681B">
        <w:t xml:space="preserve"> the</w:t>
      </w:r>
      <w:r w:rsidR="005A1F7D">
        <w:t xml:space="preserve"> UMi scenario. </w:t>
      </w:r>
      <w:r w:rsidR="00FA59EE">
        <w:t xml:space="preserve"> </w:t>
      </w:r>
      <w:r w:rsidR="005A1F7D">
        <w:t xml:space="preserve"> </w:t>
      </w:r>
      <w:r w:rsidR="00FA59EE" w:rsidRPr="00363552">
        <w:t xml:space="preserve">Table </w:t>
      </w:r>
      <w:r w:rsidR="00FA59EE" w:rsidRPr="00FA59EE">
        <w:t xml:space="preserve">7.4.2-1 </w:t>
      </w:r>
      <w:r w:rsidR="00FA59EE">
        <w:t xml:space="preserve">of </w:t>
      </w:r>
      <w:r w:rsidR="00B25EC5">
        <w:fldChar w:fldCharType="begin"/>
      </w:r>
      <w:r w:rsidR="00B25EC5">
        <w:instrText xml:space="preserve"> REF _Ref503292059 \r \h </w:instrText>
      </w:r>
      <w:r w:rsidR="00B25EC5">
        <w:fldChar w:fldCharType="separate"/>
      </w:r>
      <w:r w:rsidR="00906904">
        <w:t>[4]</w:t>
      </w:r>
      <w:r w:rsidR="00B25EC5">
        <w:fldChar w:fldCharType="end"/>
      </w:r>
      <w:r w:rsidR="00B25EC5">
        <w:t xml:space="preserve"> </w:t>
      </w:r>
      <w:r w:rsidR="00FA59EE">
        <w:t xml:space="preserve">defines the LoS probabilities.   These LoS probabilities are defined for macro-to-UE and micro-to-UE.   As in the </w:t>
      </w:r>
      <w:r w:rsidR="00B7681B">
        <w:t xml:space="preserve">NR </w:t>
      </w:r>
      <w:r w:rsidR="00FA59EE">
        <w:t>flexible duplex study, it is proposed that IAB reuse these LoS probabilities for macro-to-macro and micro-to-micro</w:t>
      </w:r>
      <w:r w:rsidR="00B7681B">
        <w:t xml:space="preserve"> cases</w:t>
      </w:r>
      <w:r w:rsidR="00FA59EE">
        <w:t>.</w:t>
      </w:r>
      <w:r w:rsidR="00B7681B">
        <w:t xml:space="preserve">  Fortunately, the UMa LoS probability has an input parameter, </w:t>
      </w:r>
      <w:r w:rsidR="00B7681B" w:rsidRPr="00B7681B">
        <w:t>h</w:t>
      </w:r>
      <w:r w:rsidR="00B7681B" w:rsidRPr="00B7681B">
        <w:rPr>
          <w:vertAlign w:val="subscript"/>
        </w:rPr>
        <w:t>UT</w:t>
      </w:r>
      <w:r w:rsidR="00B7681B">
        <w:t xml:space="preserve">, </w:t>
      </w:r>
      <w:r w:rsidR="00EF04AD">
        <w:t>specifying</w:t>
      </w:r>
      <w:r w:rsidR="00B7681B">
        <w:t xml:space="preserve"> the UE height above the ground whereas the UMi LoS probability does not. </w:t>
      </w:r>
      <w:r w:rsidR="0065406F">
        <w:fldChar w:fldCharType="begin"/>
      </w:r>
      <w:r w:rsidR="0065406F">
        <w:instrText xml:space="preserve"> REF _Ref503358965 \h </w:instrText>
      </w:r>
      <w:r w:rsidR="0065406F">
        <w:fldChar w:fldCharType="separate"/>
      </w:r>
      <w:r w:rsidR="00906904">
        <w:t xml:space="preserve">Figure </w:t>
      </w:r>
      <w:r w:rsidR="00906904">
        <w:rPr>
          <w:noProof/>
        </w:rPr>
        <w:t>1</w:t>
      </w:r>
      <w:r w:rsidR="0065406F">
        <w:fldChar w:fldCharType="end"/>
      </w:r>
      <w:r w:rsidR="0065406F">
        <w:t xml:space="preserve"> </w:t>
      </w:r>
      <w:r w:rsidR="00B7681B">
        <w:t>show</w:t>
      </w:r>
      <w:r w:rsidR="0065406F">
        <w:t>s</w:t>
      </w:r>
      <w:r w:rsidR="00B7681B">
        <w:t xml:space="preserve"> the LoS probability for UMa and UMi</w:t>
      </w:r>
      <w:r w:rsidR="0065406F">
        <w:t xml:space="preserve"> </w:t>
      </w:r>
      <w:r w:rsidR="00B7681B">
        <w:t>for typical UE, macro and micro heights as a function of distance</w:t>
      </w:r>
      <w:r w:rsidR="005A1F7D">
        <w:t>.</w:t>
      </w:r>
      <w:r w:rsidR="00B7681B">
        <w:t xml:space="preserve">  Note that the UMi LoS probability is identical for both UE and micro.</w:t>
      </w:r>
      <w:r w:rsidR="002C636C">
        <w:t xml:space="preserve">  </w:t>
      </w:r>
    </w:p>
    <w:p w14:paraId="4EA7C6E0" w14:textId="1C876ABB" w:rsidR="00014AC4" w:rsidRDefault="00014AC4" w:rsidP="00B7681B">
      <w:pPr>
        <w:jc w:val="both"/>
      </w:pPr>
      <w:r w:rsidRPr="00B25EC5">
        <w:rPr>
          <w:b/>
        </w:rPr>
        <w:t>Observation:</w:t>
      </w:r>
      <w:r>
        <w:t xml:space="preserve"> The UMi LoS probability cannot be used for the IAB study without modification</w:t>
      </w:r>
      <w:r w:rsidR="0065406F">
        <w:t xml:space="preserve"> as it is too pessimistic</w:t>
      </w:r>
      <w:r>
        <w:t>.</w:t>
      </w:r>
    </w:p>
    <w:p w14:paraId="66F08531" w14:textId="3CFF33F9" w:rsidR="00014AC4" w:rsidRDefault="00014AC4" w:rsidP="00B7681B">
      <w:pPr>
        <w:jc w:val="both"/>
      </w:pPr>
      <w:r w:rsidRPr="00B25EC5">
        <w:rPr>
          <w:b/>
        </w:rPr>
        <w:t>Recommendation:</w:t>
      </w:r>
      <w:r>
        <w:t xml:space="preserve"> IAB focus initial studies on the UMa scenarios for urban and dense urban</w:t>
      </w:r>
      <w:r w:rsidR="00865E0B">
        <w:t>.</w:t>
      </w:r>
    </w:p>
    <w:p w14:paraId="6D80FA2D" w14:textId="77777777" w:rsidR="004D6C53" w:rsidRDefault="004D6C53" w:rsidP="004D6C5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4329EAC" wp14:editId="15CC2D5E">
            <wp:extent cx="5312114" cy="268797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28-141528-NR_UMa_LoSprob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7476" cy="270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670D" w14:textId="29980E84" w:rsidR="004D6C53" w:rsidRDefault="004D6C53" w:rsidP="00720894">
      <w:pPr>
        <w:pStyle w:val="TF"/>
      </w:pPr>
      <w:bookmarkStart w:id="1" w:name="_Ref5033589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6904">
        <w:rPr>
          <w:noProof/>
        </w:rPr>
        <w:t>1</w:t>
      </w:r>
      <w:r>
        <w:fldChar w:fldCharType="end"/>
      </w:r>
      <w:bookmarkEnd w:id="1"/>
      <w:r w:rsidR="0051211C">
        <w:t xml:space="preserve"> NR UMa and NR UMi LoS Probability vs. Link Distance</w:t>
      </w:r>
    </w:p>
    <w:p w14:paraId="50D3F293" w14:textId="77777777" w:rsidR="0051211C" w:rsidRPr="00A27C31" w:rsidRDefault="0051211C" w:rsidP="00720894">
      <w:pPr>
        <w:pStyle w:val="TF"/>
      </w:pPr>
    </w:p>
    <w:p w14:paraId="5FF0E443" w14:textId="09FBE104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720894">
        <w:t>Evaluation Methodology</w:t>
      </w:r>
    </w:p>
    <w:p w14:paraId="23570FFE" w14:textId="4859F5A6" w:rsidR="00865E0B" w:rsidRPr="00050EA1" w:rsidRDefault="00050EA1" w:rsidP="00865E0B">
      <w:r w:rsidRPr="00050EA1">
        <w:t xml:space="preserve">The following </w:t>
      </w:r>
      <w:bookmarkStart w:id="2" w:name="_Hlk503360811"/>
      <w:r w:rsidRPr="00050EA1">
        <w:t xml:space="preserve">evaluation methodology is proposed for IAB using the urban and dense urban scenarios defined in Table A.2.1-1 of </w:t>
      </w:r>
      <w:r w:rsidRPr="00050EA1">
        <w:fldChar w:fldCharType="begin"/>
      </w:r>
      <w:r w:rsidRPr="00050EA1">
        <w:instrText xml:space="preserve"> REF _Ref503291473 \r \h  \* MERGEFORMAT </w:instrText>
      </w:r>
      <w:r w:rsidRPr="00050EA1">
        <w:fldChar w:fldCharType="separate"/>
      </w:r>
      <w:r w:rsidR="00906904">
        <w:t>[3]</w:t>
      </w:r>
      <w:r w:rsidRPr="00050EA1">
        <w:fldChar w:fldCharType="end"/>
      </w:r>
      <w:r w:rsidRPr="00050EA1">
        <w:t xml:space="preserve">  as modified by </w:t>
      </w:r>
      <w:r w:rsidR="00906E13">
        <w:t xml:space="preserve">the flexible duplex scenario in </w:t>
      </w:r>
      <w:r w:rsidRPr="00050EA1">
        <w:t>Table A.2.1-11 of [2]</w:t>
      </w:r>
      <w:bookmarkEnd w:id="2"/>
      <w:r w:rsidRPr="00050EA1">
        <w:t>.</w:t>
      </w:r>
    </w:p>
    <w:p w14:paraId="0B603C2D" w14:textId="5168D8C8" w:rsidR="00050EA1" w:rsidRPr="00050EA1" w:rsidRDefault="00050EA1" w:rsidP="00050EA1">
      <w:pPr>
        <w:pStyle w:val="ListParagraph"/>
        <w:numPr>
          <w:ilvl w:val="0"/>
          <w:numId w:val="5"/>
        </w:numPr>
      </w:pPr>
      <w:r w:rsidRPr="00050EA1">
        <w:t xml:space="preserve">Select a </w:t>
      </w:r>
      <w:r w:rsidRPr="00050EA1">
        <w:t>scenario either urban or dense urban with 19 macro sites and 57 cells</w:t>
      </w:r>
      <w:r>
        <w:t xml:space="preserve"> as in </w:t>
      </w:r>
      <w:r w:rsidR="0051211C">
        <w:fldChar w:fldCharType="begin"/>
      </w:r>
      <w:r w:rsidR="0051211C">
        <w:instrText xml:space="preserve"> REF _Ref503358965 \h </w:instrText>
      </w:r>
      <w:r w:rsidR="0051211C">
        <w:fldChar w:fldCharType="separate"/>
      </w:r>
      <w:r w:rsidR="00906904">
        <w:t xml:space="preserve">Figure </w:t>
      </w:r>
      <w:r w:rsidR="00906904">
        <w:rPr>
          <w:noProof/>
        </w:rPr>
        <w:t>1</w:t>
      </w:r>
      <w:r w:rsidR="0051211C">
        <w:fldChar w:fldCharType="end"/>
      </w:r>
    </w:p>
    <w:p w14:paraId="0BD0D2F6" w14:textId="79CC40DF" w:rsidR="00050EA1" w:rsidRPr="00050EA1" w:rsidRDefault="00906E13" w:rsidP="00050EA1">
      <w:pPr>
        <w:pStyle w:val="ListParagraph"/>
        <w:numPr>
          <w:ilvl w:val="0"/>
          <w:numId w:val="5"/>
        </w:numPr>
      </w:pPr>
      <w:r>
        <w:t>Create a sparse fiber scenario by defining</w:t>
      </w:r>
      <w:r w:rsidR="00050EA1" w:rsidRPr="00050EA1">
        <w:t xml:space="preserve"> a fiber penetration percentage (e.g. </w:t>
      </w:r>
      <w:r w:rsidR="0051211C">
        <w:t>37</w:t>
      </w:r>
      <w:r w:rsidR="00050EA1" w:rsidRPr="00050EA1">
        <w:t xml:space="preserve">%, </w:t>
      </w:r>
      <w:r w:rsidR="0051211C">
        <w:t>16</w:t>
      </w:r>
      <w:r w:rsidR="00050EA1" w:rsidRPr="00050EA1">
        <w:t xml:space="preserve">% or </w:t>
      </w:r>
      <w:r w:rsidR="0051211C">
        <w:t>5</w:t>
      </w:r>
      <w:r w:rsidR="00050EA1" w:rsidRPr="00050EA1">
        <w:t>%) and id</w:t>
      </w:r>
      <w:r>
        <w:t xml:space="preserve">entify </w:t>
      </w:r>
      <w:r w:rsidR="00A506E0">
        <w:t xml:space="preserve">sites with </w:t>
      </w:r>
      <w:r>
        <w:t>fiber connected nodes</w:t>
      </w:r>
      <w:r w:rsidR="00A506E0">
        <w:t>. All the remaining sites in the layout are assumed to have IAB nodes.</w:t>
      </w:r>
    </w:p>
    <w:p w14:paraId="6CB76C5E" w14:textId="7E09FFD1" w:rsidR="00050EA1" w:rsidRDefault="00050EA1" w:rsidP="00050EA1">
      <w:pPr>
        <w:pStyle w:val="ListParagraph"/>
        <w:numPr>
          <w:ilvl w:val="0"/>
          <w:numId w:val="5"/>
        </w:numPr>
      </w:pPr>
      <w:r>
        <w:t xml:space="preserve">Run a </w:t>
      </w:r>
      <w:r w:rsidR="00B25EC5">
        <w:t xml:space="preserve">sparse fiber </w:t>
      </w:r>
      <w:r>
        <w:t>simulation without IAB nodes having only fiber connected nodes</w:t>
      </w:r>
    </w:p>
    <w:p w14:paraId="7102A8E8" w14:textId="10E757CD" w:rsidR="00050EA1" w:rsidRDefault="00050EA1" w:rsidP="00050EA1">
      <w:pPr>
        <w:pStyle w:val="ListParagraph"/>
        <w:numPr>
          <w:ilvl w:val="0"/>
          <w:numId w:val="5"/>
        </w:numPr>
      </w:pPr>
      <w:r>
        <w:t xml:space="preserve">Run a </w:t>
      </w:r>
      <w:r w:rsidR="00B25EC5">
        <w:t xml:space="preserve">IAB </w:t>
      </w:r>
      <w:r>
        <w:t xml:space="preserve">simulation with both </w:t>
      </w:r>
      <w:r w:rsidR="00B25EC5">
        <w:t xml:space="preserve">the </w:t>
      </w:r>
      <w:r>
        <w:t>fiber connected</w:t>
      </w:r>
      <w:r w:rsidR="00B25EC5">
        <w:t xml:space="preserve"> donor nodes</w:t>
      </w:r>
      <w:r>
        <w:t xml:space="preserve"> and IAB nodes</w:t>
      </w:r>
    </w:p>
    <w:p w14:paraId="16201F27" w14:textId="77777777" w:rsidR="0051211C" w:rsidRDefault="0051211C" w:rsidP="0051211C">
      <w:pPr>
        <w:ind w:left="360"/>
      </w:pPr>
    </w:p>
    <w:p w14:paraId="2655FF7C" w14:textId="77777777" w:rsidR="0051211C" w:rsidRDefault="0051211C" w:rsidP="0051211C">
      <w:pPr>
        <w:keepNext/>
        <w:jc w:val="center"/>
      </w:pPr>
      <w:r>
        <w:rPr>
          <w:noProof/>
        </w:rPr>
        <w:drawing>
          <wp:inline distT="0" distB="0" distL="0" distR="0" wp14:anchorId="2C35F297" wp14:editId="274E905B">
            <wp:extent cx="2421890" cy="222916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67" cy="2247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1F8AB8" w14:textId="7940D15E" w:rsidR="0051211C" w:rsidRDefault="0051211C" w:rsidP="0051211C">
      <w:pPr>
        <w:pStyle w:val="TF"/>
      </w:pPr>
      <w:bookmarkStart w:id="3" w:name="_Ref5033589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6904">
        <w:rPr>
          <w:noProof/>
        </w:rPr>
        <w:t>2</w:t>
      </w:r>
      <w:r>
        <w:fldChar w:fldCharType="end"/>
      </w:r>
      <w:bookmarkEnd w:id="3"/>
      <w:r>
        <w:t xml:space="preserve"> Urban and Dense Urban 19</w:t>
      </w:r>
      <w:r w:rsidR="000312E1">
        <w:t xml:space="preserve"> </w:t>
      </w:r>
      <w:r>
        <w:t>site, 57 cell layout.</w:t>
      </w:r>
    </w:p>
    <w:p w14:paraId="0D2973A9" w14:textId="77777777" w:rsidR="0051211C" w:rsidRDefault="0051211C">
      <w:pPr>
        <w:spacing w:after="0"/>
      </w:pPr>
      <w:r>
        <w:br w:type="page"/>
      </w:r>
    </w:p>
    <w:p w14:paraId="713F5DA8" w14:textId="3DA5653C" w:rsidR="00050EA1" w:rsidRDefault="00906E13" w:rsidP="00050EA1">
      <w:r>
        <w:lastRenderedPageBreak/>
        <w:t xml:space="preserve">The modifications for the flexible duplex scenario are appropriate for the IAB scenario.  One item to highlight in </w:t>
      </w:r>
      <w:r w:rsidRPr="00050EA1">
        <w:t>Table A.2.1-11 of [2].</w:t>
      </w:r>
      <w:r>
        <w:t>:</w:t>
      </w:r>
    </w:p>
    <w:p w14:paraId="3F1290ED" w14:textId="46C2595A" w:rsidR="00906E13" w:rsidRDefault="00906E13" w:rsidP="00906E13">
      <w:pPr>
        <w:pStyle w:val="ListParagraph"/>
        <w:numPr>
          <w:ilvl w:val="0"/>
          <w:numId w:val="6"/>
        </w:numPr>
      </w:pPr>
      <w:r>
        <w:t>Traffic Model is “FTP traffic model 3 with packet size 0.1, 0.5 and 2.0 Mb</w:t>
      </w:r>
      <w:r w:rsidR="00430875">
        <w:t>y</w:t>
      </w:r>
      <w:r>
        <w:t>tes” and the</w:t>
      </w:r>
      <w:r w:rsidR="00430875">
        <w:t xml:space="preserve"> “</w:t>
      </w:r>
      <w:r>
        <w:t xml:space="preserve">Ratio DL/UL traffic {2:1}, {4:1} and {1:1}”. </w:t>
      </w:r>
    </w:p>
    <w:p w14:paraId="0F9B2D28" w14:textId="6841BCDB" w:rsidR="00906E13" w:rsidRDefault="00906E13" w:rsidP="00906E13">
      <w:r>
        <w:t xml:space="preserve">A bursty traffic model is appropriate for the study of IAB as unused access resources may be re-used for backhaul. </w:t>
      </w:r>
      <w:r w:rsidR="00430875">
        <w:t xml:space="preserve">  The precise traffic load and duplex ratios may be adjusted for the IAB scenario.  </w:t>
      </w:r>
      <w:r w:rsidR="007B24C6">
        <w:t>These</w:t>
      </w:r>
      <w:r w:rsidR="00430875">
        <w:t xml:space="preserve"> values of load and duplex ratio are FFS.</w:t>
      </w:r>
    </w:p>
    <w:p w14:paraId="3CF6FCF2" w14:textId="6449E204" w:rsidR="00620116" w:rsidRDefault="0051211C" w:rsidP="00906E13">
      <w:r>
        <w:t>Three</w:t>
      </w:r>
      <w:r w:rsidR="00620116">
        <w:t xml:space="preserve"> sparse fiber penetration scenarios are proposed for the study of IAB</w:t>
      </w:r>
      <w:r>
        <w:t xml:space="preserve"> of 37%, 16% and 5% and are shown in Figure</w:t>
      </w:r>
      <w:r w:rsidR="00AB7F68">
        <w:t>d</w:t>
      </w:r>
      <w:r>
        <w:t xml:space="preserve"> </w:t>
      </w:r>
      <w:r w:rsidR="00AB7F68">
        <w:t>3</w:t>
      </w:r>
      <w:r>
        <w:t xml:space="preserve">, </w:t>
      </w:r>
      <w:r w:rsidR="00AB7F68">
        <w:t>4</w:t>
      </w:r>
      <w:r>
        <w:t xml:space="preserve"> and </w:t>
      </w:r>
      <w:r w:rsidR="00AB7F68">
        <w:t>5</w:t>
      </w:r>
      <w:r>
        <w:t>.   A notation of {donor nodes, IAB nodes} is proposed where 37%, 16% and 5%</w:t>
      </w:r>
      <w:r w:rsidR="000312E1">
        <w:t xml:space="preserve"> fiber availability</w:t>
      </w:r>
      <w:r>
        <w:t xml:space="preserve"> is denoted as {7,12}, {3, 16} and {1, 18} for a </w:t>
      </w:r>
      <w:r w:rsidR="000312E1">
        <w:t>19 site</w:t>
      </w:r>
      <w:r>
        <w:t xml:space="preserve"> macro scenario.</w:t>
      </w:r>
      <w:r w:rsidR="000E41DB">
        <w:t xml:space="preserve"> </w:t>
      </w:r>
    </w:p>
    <w:p w14:paraId="2542F847" w14:textId="77777777" w:rsidR="0051211C" w:rsidRPr="00050EA1" w:rsidRDefault="0051211C" w:rsidP="00906E13"/>
    <w:p w14:paraId="29D13A8F" w14:textId="6588CA0D" w:rsidR="0051211C" w:rsidRDefault="0051211C" w:rsidP="000330D5">
      <w:pPr>
        <w:keepNext/>
        <w:jc w:val="center"/>
      </w:pPr>
      <w:r>
        <w:rPr>
          <w:noProof/>
        </w:rPr>
        <w:drawing>
          <wp:inline distT="0" distB="0" distL="0" distR="0" wp14:anchorId="3EE0C8E8" wp14:editId="508832A3">
            <wp:extent cx="5840730" cy="26155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261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8205C" w14:textId="17DC83A9" w:rsidR="00865E0B" w:rsidRDefault="0051211C" w:rsidP="000330D5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6904">
        <w:rPr>
          <w:noProof/>
        </w:rPr>
        <w:t>3</w:t>
      </w:r>
      <w:r>
        <w:fldChar w:fldCharType="end"/>
      </w:r>
      <w:r w:rsidR="000330D5">
        <w:t xml:space="preserve">  IAB sparse fiber scenario with 37% available fiber</w:t>
      </w:r>
    </w:p>
    <w:p w14:paraId="0E3ED162" w14:textId="77777777" w:rsidR="0051211C" w:rsidRPr="0051211C" w:rsidRDefault="0051211C" w:rsidP="0051211C"/>
    <w:p w14:paraId="037FA795" w14:textId="0CC4BB3D" w:rsidR="0051211C" w:rsidRDefault="000312E1" w:rsidP="000312E1">
      <w:pPr>
        <w:keepNext/>
        <w:jc w:val="center"/>
      </w:pPr>
      <w:r>
        <w:rPr>
          <w:noProof/>
        </w:rPr>
        <w:drawing>
          <wp:inline distT="0" distB="0" distL="0" distR="0" wp14:anchorId="4771BFF1" wp14:editId="05366C6A">
            <wp:extent cx="5840730" cy="26155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261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E4B77" w14:textId="26585D90" w:rsidR="0051211C" w:rsidRDefault="0051211C" w:rsidP="000330D5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6904">
        <w:rPr>
          <w:noProof/>
        </w:rPr>
        <w:t>4</w:t>
      </w:r>
      <w:r>
        <w:fldChar w:fldCharType="end"/>
      </w:r>
      <w:r w:rsidR="000330D5">
        <w:t xml:space="preserve"> IAB sparse fiber scenario with 16% available fiber</w:t>
      </w:r>
    </w:p>
    <w:p w14:paraId="54C945F7" w14:textId="6EEAB818" w:rsidR="0051211C" w:rsidRDefault="0051211C" w:rsidP="000330D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D55DF04" wp14:editId="7259825A">
            <wp:extent cx="5840730" cy="26155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261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6C4C9D" w14:textId="53B6D6C1" w:rsidR="000330D5" w:rsidRDefault="0051211C" w:rsidP="000330D5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6904">
        <w:rPr>
          <w:noProof/>
        </w:rPr>
        <w:t>5</w:t>
      </w:r>
      <w:r>
        <w:fldChar w:fldCharType="end"/>
      </w:r>
      <w:r w:rsidR="000330D5">
        <w:t xml:space="preserve"> IAB sparse fiber scenario with 5% available fiber</w:t>
      </w:r>
    </w:p>
    <w:p w14:paraId="267770E9" w14:textId="77777777" w:rsidR="000330D5" w:rsidRPr="0051211C" w:rsidRDefault="000330D5" w:rsidP="000330D5">
      <w:pPr>
        <w:pStyle w:val="TF"/>
      </w:pPr>
    </w:p>
    <w:p w14:paraId="43A12B72" w14:textId="17426A99" w:rsidR="00CD4C7B" w:rsidRPr="00B25EC5" w:rsidRDefault="00CD4C7B" w:rsidP="00CD4C7B">
      <w:pPr>
        <w:pStyle w:val="Heading1"/>
        <w:rPr>
          <w:lang w:val="en-US"/>
        </w:rPr>
      </w:pPr>
      <w:r w:rsidRPr="005C202D">
        <w:t>4</w:t>
      </w:r>
      <w:r w:rsidRPr="005C202D">
        <w:tab/>
      </w:r>
      <w:r w:rsidR="00B25EC5" w:rsidRPr="00B25EC5">
        <w:rPr>
          <w:lang w:val="en-US"/>
        </w:rPr>
        <w:t>Key Performance Indicators</w:t>
      </w:r>
    </w:p>
    <w:p w14:paraId="190C81D1" w14:textId="4DF9E8CE" w:rsidR="00CD4C7B" w:rsidRDefault="00AC1526" w:rsidP="00CD4C7B">
      <w:r>
        <w:t>The following Key Performance Indicators should be reported for both the sparse fiber scenario and IAB scenario defined.</w:t>
      </w:r>
    </w:p>
    <w:p w14:paraId="07651249" w14:textId="569E9F86" w:rsidR="00AC1526" w:rsidRDefault="00AC1526" w:rsidP="00AC1526">
      <w:pPr>
        <w:pStyle w:val="ListParagraph"/>
        <w:numPr>
          <w:ilvl w:val="0"/>
          <w:numId w:val="6"/>
        </w:numPr>
      </w:pPr>
      <w:r>
        <w:t>Mean UE throughput</w:t>
      </w:r>
    </w:p>
    <w:p w14:paraId="1E5ABC50" w14:textId="4FB0DD8F" w:rsidR="00AC1526" w:rsidRDefault="00AC1526" w:rsidP="00AC1526">
      <w:pPr>
        <w:pStyle w:val="ListParagraph"/>
        <w:numPr>
          <w:ilvl w:val="0"/>
          <w:numId w:val="6"/>
        </w:numPr>
      </w:pPr>
      <w:r>
        <w:t>Cell Edge UE throughput</w:t>
      </w:r>
    </w:p>
    <w:p w14:paraId="5A8084BD" w14:textId="1ECF074F" w:rsidR="00AC1526" w:rsidRDefault="00AC1526" w:rsidP="00AC1526">
      <w:pPr>
        <w:pStyle w:val="ListParagraph"/>
        <w:numPr>
          <w:ilvl w:val="0"/>
          <w:numId w:val="6"/>
        </w:numPr>
      </w:pPr>
      <w:r>
        <w:t>Resource Utilizations per traffic type (access or backhaul)</w:t>
      </w:r>
    </w:p>
    <w:p w14:paraId="2CE4CD15" w14:textId="62F3C390" w:rsidR="00AC1526" w:rsidRDefault="00AC1526" w:rsidP="00AC1526">
      <w:pPr>
        <w:pStyle w:val="ListParagraph"/>
        <w:numPr>
          <w:ilvl w:val="0"/>
          <w:numId w:val="6"/>
        </w:numPr>
      </w:pPr>
      <w:r>
        <w:t>Latency</w:t>
      </w:r>
    </w:p>
    <w:p w14:paraId="3CA25BB5" w14:textId="025664FC" w:rsidR="00AC1526" w:rsidRDefault="00AC1526" w:rsidP="00AC1526">
      <w:r>
        <w:t>The difference between the sparse fiber scenario and IAB scenario will represent the gain that IAB nodes can provide</w:t>
      </w:r>
    </w:p>
    <w:p w14:paraId="580CE06D" w14:textId="77777777" w:rsidR="000312E1" w:rsidRPr="0051211C" w:rsidRDefault="000312E1" w:rsidP="000312E1">
      <w:pPr>
        <w:pStyle w:val="TF"/>
      </w:pPr>
    </w:p>
    <w:p w14:paraId="010AA339" w14:textId="53EB80DD" w:rsidR="000312E1" w:rsidRPr="00B25EC5" w:rsidRDefault="000312E1" w:rsidP="000312E1">
      <w:pPr>
        <w:pStyle w:val="Heading1"/>
        <w:rPr>
          <w:lang w:val="en-US"/>
        </w:rPr>
      </w:pPr>
      <w:r w:rsidRPr="005C202D">
        <w:t>4</w:t>
      </w:r>
      <w:r w:rsidRPr="005C202D">
        <w:tab/>
      </w:r>
      <w:r>
        <w:rPr>
          <w:lang w:val="en-US"/>
        </w:rPr>
        <w:t>Summary</w:t>
      </w:r>
    </w:p>
    <w:p w14:paraId="4B35639A" w14:textId="77777777" w:rsidR="0065406F" w:rsidRDefault="0065406F" w:rsidP="0065406F">
      <w:r>
        <w:t>Based on the analysis presented in this paper, the following is proposed:</w:t>
      </w:r>
    </w:p>
    <w:p w14:paraId="5A3AEE39" w14:textId="41542766" w:rsidR="0065406F" w:rsidRDefault="0065406F" w:rsidP="0065406F">
      <w:pPr>
        <w:rPr>
          <w:b/>
        </w:rPr>
      </w:pPr>
      <w:r>
        <w:rPr>
          <w:b/>
        </w:rPr>
        <w:t>Proposal 1:</w:t>
      </w:r>
      <w:r>
        <w:t xml:space="preserve"> </w:t>
      </w:r>
      <w:r>
        <w:rPr>
          <w:b/>
        </w:rPr>
        <w:t>IAB e</w:t>
      </w:r>
      <w:r w:rsidRPr="0065406F">
        <w:rPr>
          <w:b/>
        </w:rPr>
        <w:t>valuation metho</w:t>
      </w:r>
      <w:r>
        <w:rPr>
          <w:b/>
        </w:rPr>
        <w:t>dology should use</w:t>
      </w:r>
      <w:r w:rsidRPr="0065406F">
        <w:rPr>
          <w:b/>
        </w:rPr>
        <w:t xml:space="preserve"> the urban and dense urban scenarios d</w:t>
      </w:r>
      <w:r>
        <w:rPr>
          <w:b/>
        </w:rPr>
        <w:t xml:space="preserve">efined in Table A.2.1-1 of </w:t>
      </w:r>
      <w:r w:rsidR="00906904">
        <w:rPr>
          <w:b/>
        </w:rPr>
        <w:fldChar w:fldCharType="begin"/>
      </w:r>
      <w:r w:rsidR="00906904">
        <w:rPr>
          <w:b/>
        </w:rPr>
        <w:instrText xml:space="preserve"> REF _Ref503291473 \r \h </w:instrText>
      </w:r>
      <w:r w:rsidR="00906904">
        <w:rPr>
          <w:b/>
        </w:rPr>
      </w:r>
      <w:r w:rsidR="00906904">
        <w:rPr>
          <w:b/>
        </w:rPr>
        <w:fldChar w:fldCharType="separate"/>
      </w:r>
      <w:r w:rsidR="00906904">
        <w:rPr>
          <w:b/>
        </w:rPr>
        <w:t>[3]</w:t>
      </w:r>
      <w:r w:rsidR="00906904">
        <w:rPr>
          <w:b/>
        </w:rPr>
        <w:fldChar w:fldCharType="end"/>
      </w:r>
      <w:r w:rsidR="00906904">
        <w:rPr>
          <w:b/>
        </w:rPr>
        <w:t xml:space="preserve"> </w:t>
      </w:r>
      <w:r w:rsidRPr="0065406F">
        <w:rPr>
          <w:b/>
        </w:rPr>
        <w:t xml:space="preserve">as modified by the flexible duplex scenario in Table A.2.1-11 of </w:t>
      </w:r>
      <w:r w:rsidR="00906904">
        <w:rPr>
          <w:b/>
        </w:rPr>
        <w:fldChar w:fldCharType="begin"/>
      </w:r>
      <w:r w:rsidR="00906904">
        <w:rPr>
          <w:b/>
        </w:rPr>
        <w:instrText xml:space="preserve"> REF _Ref503291473 \r \h </w:instrText>
      </w:r>
      <w:r w:rsidR="00906904">
        <w:rPr>
          <w:b/>
        </w:rPr>
      </w:r>
      <w:r w:rsidR="00906904">
        <w:rPr>
          <w:b/>
        </w:rPr>
        <w:fldChar w:fldCharType="separate"/>
      </w:r>
      <w:r w:rsidR="00906904">
        <w:rPr>
          <w:b/>
        </w:rPr>
        <w:t>[3]</w:t>
      </w:r>
      <w:r w:rsidR="00906904">
        <w:rPr>
          <w:b/>
        </w:rPr>
        <w:fldChar w:fldCharType="end"/>
      </w:r>
    </w:p>
    <w:p w14:paraId="21D1F466" w14:textId="16F9DEBE" w:rsidR="0065406F" w:rsidRDefault="0065406F" w:rsidP="0065406F">
      <w:pPr>
        <w:rPr>
          <w:b/>
        </w:rPr>
      </w:pPr>
      <w:r w:rsidRPr="00340E57">
        <w:rPr>
          <w:b/>
        </w:rPr>
        <w:t xml:space="preserve">Proposal 2: </w:t>
      </w:r>
      <w:r>
        <w:rPr>
          <w:b/>
        </w:rPr>
        <w:t xml:space="preserve">IAB evaluation methodology </w:t>
      </w:r>
      <w:r w:rsidR="00906904">
        <w:rPr>
          <w:b/>
        </w:rPr>
        <w:t xml:space="preserve">should </w:t>
      </w:r>
      <w:r>
        <w:rPr>
          <w:b/>
        </w:rPr>
        <w:t>assess the benefit</w:t>
      </w:r>
      <w:r w:rsidR="00906904">
        <w:rPr>
          <w:b/>
        </w:rPr>
        <w:t xml:space="preserve"> of</w:t>
      </w:r>
      <w:r>
        <w:rPr>
          <w:b/>
        </w:rPr>
        <w:t xml:space="preserve"> IAB in </w:t>
      </w:r>
      <w:r w:rsidR="00906904">
        <w:rPr>
          <w:b/>
        </w:rPr>
        <w:t>a</w:t>
      </w:r>
      <w:r>
        <w:rPr>
          <w:b/>
        </w:rPr>
        <w:t xml:space="preserve"> sparse fiber scenario with a 19 site macro scenario for 37%, 16% and 5% available fiber </w:t>
      </w:r>
    </w:p>
    <w:p w14:paraId="394B3513" w14:textId="7EC0203B" w:rsidR="0065406F" w:rsidRPr="00340E57" w:rsidRDefault="0065406F" w:rsidP="0065406F">
      <w:pPr>
        <w:rPr>
          <w:b/>
        </w:rPr>
      </w:pPr>
      <w:r>
        <w:rPr>
          <w:b/>
        </w:rPr>
        <w:t>Proposal 3:</w:t>
      </w:r>
      <w:r>
        <w:t xml:space="preserve"> </w:t>
      </w:r>
      <w:r>
        <w:rPr>
          <w:b/>
        </w:rPr>
        <w:t>IAB should include the KPIs mean UE throughput, cell edge UE throughput, resource utilization per traffic type (access or backhaul) and latency</w:t>
      </w:r>
    </w:p>
    <w:p w14:paraId="6B7DE6D1" w14:textId="2BE1B016" w:rsidR="000312E1" w:rsidRPr="00B25EC5" w:rsidRDefault="000312E1" w:rsidP="00CD4C7B">
      <w:r w:rsidRPr="00B25EC5"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697702A" w14:textId="7AA5386E" w:rsidR="00AC1526" w:rsidRDefault="00AC1526" w:rsidP="00AC152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3291207"/>
      <w:bookmarkStart w:id="5" w:name="_Ref75086397"/>
      <w:r>
        <w:t>RP</w:t>
      </w:r>
      <w:r>
        <w:noBreakHyphen/>
        <w:t xml:space="preserve">171880 </w:t>
      </w:r>
      <w:r>
        <w:rPr>
          <w:i/>
          <w:iCs/>
        </w:rPr>
        <w:t>Updated SID Study on integrated access and backhaul for NR</w:t>
      </w:r>
      <w:r>
        <w:t xml:space="preserve"> - Qualcomm</w:t>
      </w:r>
    </w:p>
    <w:p w14:paraId="1CCA99AD" w14:textId="277174B8" w:rsidR="00BA3433" w:rsidRPr="006E13D1" w:rsidRDefault="00424892" w:rsidP="0042489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24892">
        <w:t>R2-1800390</w:t>
      </w:r>
      <w:r>
        <w:t xml:space="preserve"> </w:t>
      </w:r>
      <w:r w:rsidR="00BA3433" w:rsidRPr="00BA3433">
        <w:rPr>
          <w:i/>
          <w:iCs/>
        </w:rPr>
        <w:t xml:space="preserve">IAB Deployment Scenarios </w:t>
      </w:r>
      <w:r w:rsidR="00BA3433">
        <w:t xml:space="preserve">- </w:t>
      </w:r>
      <w:r w:rsidR="00BA3433" w:rsidRPr="00BA3433">
        <w:t>Nokia, Nokia Shanghai Be</w:t>
      </w:r>
      <w:r w:rsidR="00BA3433">
        <w:t>ll</w:t>
      </w:r>
      <w:bookmarkEnd w:id="4"/>
    </w:p>
    <w:p w14:paraId="2B8C910F" w14:textId="36E63E1F" w:rsidR="00CD4C7B" w:rsidRPr="00BA3433" w:rsidRDefault="00BA3433" w:rsidP="00BA343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03291473"/>
      <w:r w:rsidRPr="00BA3433">
        <w:t xml:space="preserve">3GPP TR </w:t>
      </w:r>
      <w:r w:rsidR="001B287D">
        <w:t>38.802</w:t>
      </w:r>
      <w:r>
        <w:t xml:space="preserve"> </w:t>
      </w:r>
      <w:r w:rsidRPr="00BA3433">
        <w:rPr>
          <w:i/>
          <w:iCs/>
        </w:rPr>
        <w:t>Study on New Radio Access Technology</w:t>
      </w:r>
      <w:r>
        <w:rPr>
          <w:i/>
          <w:iCs/>
        </w:rPr>
        <w:t xml:space="preserve"> - </w:t>
      </w:r>
      <w:r w:rsidRPr="00BA3433">
        <w:rPr>
          <w:i/>
          <w:iCs/>
        </w:rPr>
        <w:t>Physical Layer Aspects</w:t>
      </w:r>
      <w:bookmarkEnd w:id="6"/>
    </w:p>
    <w:p w14:paraId="35F222F4" w14:textId="57D13AA8" w:rsidR="00080512" w:rsidRPr="00CD4C7B" w:rsidRDefault="00BA3433" w:rsidP="005C202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503292059"/>
      <w:bookmarkStart w:id="8" w:name="_GoBack"/>
      <w:r w:rsidRPr="00BA3433">
        <w:t>3GPP TR 38.</w:t>
      </w:r>
      <w:r>
        <w:rPr>
          <w:lang w:eastAsia="ja-JP"/>
        </w:rPr>
        <w:t xml:space="preserve">901 </w:t>
      </w:r>
      <w:r w:rsidRPr="00BA3433">
        <w:rPr>
          <w:i/>
          <w:iCs/>
        </w:rPr>
        <w:t>Study on channel model for frequencies from 0.5 to 100 GHz</w:t>
      </w:r>
      <w:bookmarkEnd w:id="5"/>
      <w:bookmarkEnd w:id="7"/>
      <w:bookmarkEnd w:id="8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D757E" w14:textId="77777777" w:rsidR="00DB7220" w:rsidRDefault="00DB7220">
      <w:r>
        <w:separator/>
      </w:r>
    </w:p>
  </w:endnote>
  <w:endnote w:type="continuationSeparator" w:id="0">
    <w:p w14:paraId="26F9B5FC" w14:textId="77777777" w:rsidR="00DB7220" w:rsidRDefault="00DB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5A87E" w14:textId="77777777" w:rsidR="00DB7220" w:rsidRDefault="00DB7220">
      <w:r>
        <w:separator/>
      </w:r>
    </w:p>
  </w:footnote>
  <w:footnote w:type="continuationSeparator" w:id="0">
    <w:p w14:paraId="1AB2CD62" w14:textId="77777777" w:rsidR="00DB7220" w:rsidRDefault="00DB7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31966"/>
    <w:multiLevelType w:val="hybridMultilevel"/>
    <w:tmpl w:val="895613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30C50"/>
    <w:multiLevelType w:val="hybridMultilevel"/>
    <w:tmpl w:val="20DE45C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D1B"/>
    <w:rsid w:val="00014AC4"/>
    <w:rsid w:val="0002361A"/>
    <w:rsid w:val="000312E1"/>
    <w:rsid w:val="000330D5"/>
    <w:rsid w:val="00033397"/>
    <w:rsid w:val="00040095"/>
    <w:rsid w:val="00050EA1"/>
    <w:rsid w:val="00080512"/>
    <w:rsid w:val="00090468"/>
    <w:rsid w:val="000B7BCF"/>
    <w:rsid w:val="000C522B"/>
    <w:rsid w:val="000D58AB"/>
    <w:rsid w:val="000E41DB"/>
    <w:rsid w:val="00112F1A"/>
    <w:rsid w:val="00145075"/>
    <w:rsid w:val="001741A0"/>
    <w:rsid w:val="00194CD0"/>
    <w:rsid w:val="001B287D"/>
    <w:rsid w:val="001B49C9"/>
    <w:rsid w:val="001B54CC"/>
    <w:rsid w:val="001D04F6"/>
    <w:rsid w:val="001F168B"/>
    <w:rsid w:val="001F7831"/>
    <w:rsid w:val="00204045"/>
    <w:rsid w:val="0022606D"/>
    <w:rsid w:val="002747EC"/>
    <w:rsid w:val="002855BF"/>
    <w:rsid w:val="002A0A18"/>
    <w:rsid w:val="002C636C"/>
    <w:rsid w:val="002E1A5A"/>
    <w:rsid w:val="002F0D22"/>
    <w:rsid w:val="003172DC"/>
    <w:rsid w:val="003200EB"/>
    <w:rsid w:val="00326069"/>
    <w:rsid w:val="003371E7"/>
    <w:rsid w:val="0035462D"/>
    <w:rsid w:val="00363552"/>
    <w:rsid w:val="00363AFB"/>
    <w:rsid w:val="003B40AD"/>
    <w:rsid w:val="003C4E37"/>
    <w:rsid w:val="003E16BE"/>
    <w:rsid w:val="004006E8"/>
    <w:rsid w:val="00401855"/>
    <w:rsid w:val="00424892"/>
    <w:rsid w:val="00430875"/>
    <w:rsid w:val="00477455"/>
    <w:rsid w:val="004D145A"/>
    <w:rsid w:val="004D3578"/>
    <w:rsid w:val="004D380D"/>
    <w:rsid w:val="004D6C53"/>
    <w:rsid w:val="004E213A"/>
    <w:rsid w:val="004E426A"/>
    <w:rsid w:val="004E4D33"/>
    <w:rsid w:val="00503171"/>
    <w:rsid w:val="00506C28"/>
    <w:rsid w:val="0051211C"/>
    <w:rsid w:val="00534DA0"/>
    <w:rsid w:val="00543E6C"/>
    <w:rsid w:val="00565087"/>
    <w:rsid w:val="0056573F"/>
    <w:rsid w:val="005A1F7D"/>
    <w:rsid w:val="005C202D"/>
    <w:rsid w:val="00611566"/>
    <w:rsid w:val="00620116"/>
    <w:rsid w:val="00646D99"/>
    <w:rsid w:val="0065406F"/>
    <w:rsid w:val="00656910"/>
    <w:rsid w:val="00697545"/>
    <w:rsid w:val="006C66D8"/>
    <w:rsid w:val="006D1E24"/>
    <w:rsid w:val="006E1417"/>
    <w:rsid w:val="006F6A2C"/>
    <w:rsid w:val="00710201"/>
    <w:rsid w:val="00720894"/>
    <w:rsid w:val="0072143C"/>
    <w:rsid w:val="00734A5B"/>
    <w:rsid w:val="00744E76"/>
    <w:rsid w:val="00757D40"/>
    <w:rsid w:val="00781F0F"/>
    <w:rsid w:val="00786399"/>
    <w:rsid w:val="0078727C"/>
    <w:rsid w:val="0079049D"/>
    <w:rsid w:val="007A63C0"/>
    <w:rsid w:val="007B18D8"/>
    <w:rsid w:val="007B24C6"/>
    <w:rsid w:val="007C095F"/>
    <w:rsid w:val="007C47A6"/>
    <w:rsid w:val="008028A4"/>
    <w:rsid w:val="00813245"/>
    <w:rsid w:val="00865E0B"/>
    <w:rsid w:val="00874456"/>
    <w:rsid w:val="008768CA"/>
    <w:rsid w:val="00877EF9"/>
    <w:rsid w:val="00880559"/>
    <w:rsid w:val="008B5306"/>
    <w:rsid w:val="0090271F"/>
    <w:rsid w:val="00902DB9"/>
    <w:rsid w:val="0090466A"/>
    <w:rsid w:val="00906904"/>
    <w:rsid w:val="00906E13"/>
    <w:rsid w:val="0093424A"/>
    <w:rsid w:val="00936071"/>
    <w:rsid w:val="00940212"/>
    <w:rsid w:val="00942EC2"/>
    <w:rsid w:val="00961B32"/>
    <w:rsid w:val="00970DB3"/>
    <w:rsid w:val="00974BB0"/>
    <w:rsid w:val="009A0AF3"/>
    <w:rsid w:val="009A310A"/>
    <w:rsid w:val="009B07CD"/>
    <w:rsid w:val="009C19E9"/>
    <w:rsid w:val="00A10F02"/>
    <w:rsid w:val="00A204CA"/>
    <w:rsid w:val="00A24CDA"/>
    <w:rsid w:val="00A27C31"/>
    <w:rsid w:val="00A47582"/>
    <w:rsid w:val="00A506E0"/>
    <w:rsid w:val="00A53724"/>
    <w:rsid w:val="00A75D6F"/>
    <w:rsid w:val="00A82346"/>
    <w:rsid w:val="00A9671C"/>
    <w:rsid w:val="00AA1553"/>
    <w:rsid w:val="00AB7F68"/>
    <w:rsid w:val="00AC1526"/>
    <w:rsid w:val="00AD0A03"/>
    <w:rsid w:val="00AF4406"/>
    <w:rsid w:val="00B15449"/>
    <w:rsid w:val="00B25EC5"/>
    <w:rsid w:val="00B40CA4"/>
    <w:rsid w:val="00B47FD1"/>
    <w:rsid w:val="00B516BB"/>
    <w:rsid w:val="00B7681B"/>
    <w:rsid w:val="00BA3433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CF2B3E"/>
    <w:rsid w:val="00CF32B0"/>
    <w:rsid w:val="00D251BB"/>
    <w:rsid w:val="00D54A90"/>
    <w:rsid w:val="00D738D6"/>
    <w:rsid w:val="00D80795"/>
    <w:rsid w:val="00D854BE"/>
    <w:rsid w:val="00D87E00"/>
    <w:rsid w:val="00D9134D"/>
    <w:rsid w:val="00D96D11"/>
    <w:rsid w:val="00DA42FF"/>
    <w:rsid w:val="00DA7A03"/>
    <w:rsid w:val="00DB1818"/>
    <w:rsid w:val="00DB7220"/>
    <w:rsid w:val="00DC309B"/>
    <w:rsid w:val="00DC4DA2"/>
    <w:rsid w:val="00E4308C"/>
    <w:rsid w:val="00E62835"/>
    <w:rsid w:val="00E748CB"/>
    <w:rsid w:val="00E77645"/>
    <w:rsid w:val="00E83697"/>
    <w:rsid w:val="00EC4A25"/>
    <w:rsid w:val="00EE49D0"/>
    <w:rsid w:val="00EF04AD"/>
    <w:rsid w:val="00F025A2"/>
    <w:rsid w:val="00F07388"/>
    <w:rsid w:val="00F1560D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A59EE"/>
    <w:rsid w:val="00FB1B0D"/>
    <w:rsid w:val="00FB2636"/>
    <w:rsid w:val="00FB36FA"/>
    <w:rsid w:val="00FC1192"/>
    <w:rsid w:val="00FC6ACA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4D6C5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50EA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E1A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E1A5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7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5AIRPNAIUNRU-859666464-1201</_dlc_DocId>
    <_dlc_DocIdUrl xmlns="71c5aaf6-e6ce-465b-b873-5148d2a4c105">
      <Url>https://nokia.sharepoint.com/sites/c5g/e2earch/_layouts/15/DocIdRedir.aspx?ID=5AIRPNAIUNRU-859666464-1201</Url>
      <Description>5AIRPNAIUNRU-859666464-1201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C4426-1192-42CD-A3A2-B38A4070D6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3D4CD4-28E3-44A9-866C-CB0CF1795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AD904E-30FA-44E5-B9D9-5C10ED1690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502F548-1CDE-4059-97F0-A77B3BCD73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23147B-31DD-4073-8C0B-5CBA6BA1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Dawid</cp:lastModifiedBy>
  <cp:revision>13</cp:revision>
  <cp:lastPrinted>2018-01-10T19:24:00Z</cp:lastPrinted>
  <dcterms:created xsi:type="dcterms:W3CDTF">2018-01-10T20:56:00Z</dcterms:created>
  <dcterms:modified xsi:type="dcterms:W3CDTF">2018-01-12T07:31:00Z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bdf759a9-bcfa-4571-ba50-280156fa9490</vt:lpwstr>
  </property>
</Properties>
</file>